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D254" w14:textId="2A25A0C7" w:rsidR="00C42E52" w:rsidRPr="00352C55" w:rsidRDefault="00C42E52">
      <w:pPr>
        <w:rPr>
          <w:b/>
          <w:sz w:val="24"/>
          <w:szCs w:val="24"/>
        </w:rPr>
      </w:pPr>
      <w:r w:rsidRPr="00352C55">
        <w:rPr>
          <w:b/>
          <w:sz w:val="24"/>
          <w:szCs w:val="24"/>
        </w:rPr>
        <w:t>Tijdelijke afwijking van artikel 3 van de Cao Nederlandse Orkesten Bijzondere Bepalingen</w:t>
      </w:r>
    </w:p>
    <w:p w14:paraId="316A4B52" w14:textId="71EE4C48" w:rsidR="00061280" w:rsidRDefault="00061280">
      <w:pPr>
        <w:rPr>
          <w:b/>
        </w:rPr>
      </w:pPr>
      <w:r>
        <w:rPr>
          <w:b/>
        </w:rPr>
        <w:t xml:space="preserve">Amsterdam, </w:t>
      </w:r>
      <w:r w:rsidR="00B02647">
        <w:rPr>
          <w:b/>
        </w:rPr>
        <w:t>6</w:t>
      </w:r>
      <w:r>
        <w:rPr>
          <w:b/>
        </w:rPr>
        <w:t xml:space="preserve"> december 2021 </w:t>
      </w:r>
    </w:p>
    <w:p w14:paraId="3B4679D5" w14:textId="188B41DC" w:rsidR="00880143" w:rsidRPr="00DC379D" w:rsidRDefault="00C42E52">
      <w:pPr>
        <w:rPr>
          <w:b/>
          <w:sz w:val="24"/>
          <w:szCs w:val="24"/>
        </w:rPr>
      </w:pPr>
      <w:r w:rsidRPr="00DC379D">
        <w:rPr>
          <w:b/>
          <w:sz w:val="24"/>
          <w:szCs w:val="24"/>
        </w:rPr>
        <w:t xml:space="preserve">Preambule  </w:t>
      </w:r>
    </w:p>
    <w:p w14:paraId="7AA4A452" w14:textId="274E526E" w:rsidR="00E60FED" w:rsidRDefault="00C17409">
      <w:r>
        <w:t xml:space="preserve">Partijen bij de </w:t>
      </w:r>
      <w:r w:rsidR="00807F74">
        <w:t>C</w:t>
      </w:r>
      <w:r>
        <w:t xml:space="preserve">ao Nederlandse Orkesten Bijzondere Bepalingen hebben vastgesteld dat gedurende de periode van de beperkende overheidsmaatregelen in verband met COVID-19 extra wendbaarheid wordt gevraagd van de orkesten. Er is </w:t>
      </w:r>
      <w:r w:rsidR="00782D90">
        <w:t>sprake van extra</w:t>
      </w:r>
      <w:r>
        <w:t xml:space="preserve"> onzekerheid over het doorgaan van producties</w:t>
      </w:r>
      <w:r w:rsidR="00782D90">
        <w:t xml:space="preserve"> en </w:t>
      </w:r>
      <w:r>
        <w:t xml:space="preserve">de momenten </w:t>
      </w:r>
      <w:r w:rsidR="00782D90">
        <w:t xml:space="preserve">waarop en in welke vorm </w:t>
      </w:r>
      <w:r>
        <w:t>producties kunnen plaatsvinden. In d</w:t>
      </w:r>
      <w:r w:rsidR="00566D46">
        <w:t>i</w:t>
      </w:r>
      <w:r>
        <w:t xml:space="preserve">t verband hebben partijen een afspraak gemaakt over een tijdelijke annuleringsregeling voor remplaçanten. Deze regeling </w:t>
      </w:r>
      <w:r w:rsidR="006234F3">
        <w:t xml:space="preserve">geldt van </w:t>
      </w:r>
      <w:r w:rsidR="00C42E52">
        <w:t xml:space="preserve">1 </w:t>
      </w:r>
      <w:r w:rsidR="00061280">
        <w:t xml:space="preserve">december 2021 </w:t>
      </w:r>
      <w:r w:rsidR="00811D42">
        <w:t xml:space="preserve"> </w:t>
      </w:r>
      <w:r>
        <w:t xml:space="preserve">tot </w:t>
      </w:r>
      <w:r w:rsidR="00C42E52">
        <w:t xml:space="preserve">en </w:t>
      </w:r>
      <w:r w:rsidR="007D7880">
        <w:t xml:space="preserve">met </w:t>
      </w:r>
      <w:r w:rsidR="006234F3">
        <w:t xml:space="preserve"> </w:t>
      </w:r>
      <w:r w:rsidR="00C42E52">
        <w:t>3</w:t>
      </w:r>
      <w:r w:rsidR="00811D42">
        <w:t>0</w:t>
      </w:r>
      <w:r w:rsidR="00C42E52">
        <w:t xml:space="preserve"> </w:t>
      </w:r>
      <w:r w:rsidR="00061280">
        <w:t>april</w:t>
      </w:r>
      <w:r w:rsidR="00811D42">
        <w:t xml:space="preserve"> </w:t>
      </w:r>
      <w:r w:rsidR="00C42E52">
        <w:t xml:space="preserve"> </w:t>
      </w:r>
      <w:r>
        <w:t>202</w:t>
      </w:r>
      <w:r w:rsidR="00061280">
        <w:t>2</w:t>
      </w:r>
      <w:r w:rsidR="00D31AE1">
        <w:t xml:space="preserve"> en </w:t>
      </w:r>
      <w:r w:rsidR="00505F55">
        <w:t>volgt op een gelijkluidende regeling die van kracht was van 1 januari 2021 tot en met 31 maart 2021</w:t>
      </w:r>
      <w:r w:rsidR="00061280">
        <w:t xml:space="preserve"> en die vervolgens door partijen is verlengd tot 1 september 2021</w:t>
      </w:r>
      <w:r w:rsidR="00505F55">
        <w:t xml:space="preserve">. </w:t>
      </w:r>
    </w:p>
    <w:p w14:paraId="058442DE" w14:textId="02BD1DEE" w:rsidR="00C17409" w:rsidRDefault="00C17409">
      <w:r>
        <w:t xml:space="preserve">Partijen zullen – te rekenen vanaf 1 </w:t>
      </w:r>
      <w:r w:rsidR="00061280">
        <w:t xml:space="preserve">december </w:t>
      </w:r>
      <w:r w:rsidR="00811D42">
        <w:t xml:space="preserve"> </w:t>
      </w:r>
      <w:r>
        <w:t xml:space="preserve"> 2021 - maandelijks overleg hebben over de noodzaak om deze tijdelijke regeling te continueren.   </w:t>
      </w:r>
    </w:p>
    <w:p w14:paraId="37C2F2F7" w14:textId="151C07B0" w:rsidR="00E13AA1" w:rsidRPr="00DC379D" w:rsidRDefault="00E13AA1">
      <w:pPr>
        <w:rPr>
          <w:b/>
          <w:sz w:val="24"/>
          <w:szCs w:val="24"/>
        </w:rPr>
      </w:pPr>
      <w:r w:rsidRPr="00DC379D">
        <w:rPr>
          <w:b/>
          <w:sz w:val="24"/>
          <w:szCs w:val="24"/>
        </w:rPr>
        <w:t>Annulering door de werkgever</w:t>
      </w:r>
    </w:p>
    <w:p w14:paraId="6F5F9EA3" w14:textId="43263EF3" w:rsidR="00816CDD" w:rsidRDefault="00816CDD">
      <w:pPr>
        <w:rPr>
          <w:b/>
        </w:rPr>
      </w:pPr>
      <w:r>
        <w:rPr>
          <w:b/>
        </w:rPr>
        <w:t>Geldend van</w:t>
      </w:r>
      <w:r w:rsidR="00370734">
        <w:rPr>
          <w:b/>
        </w:rPr>
        <w:t xml:space="preserve"> 27 novem</w:t>
      </w:r>
      <w:r>
        <w:rPr>
          <w:b/>
        </w:rPr>
        <w:t>ber 2021 tot en met 1</w:t>
      </w:r>
      <w:r w:rsidR="00277DAE">
        <w:rPr>
          <w:b/>
        </w:rPr>
        <w:t>5</w:t>
      </w:r>
      <w:r>
        <w:rPr>
          <w:b/>
        </w:rPr>
        <w:t xml:space="preserve"> januari 2022</w:t>
      </w:r>
      <w:r w:rsidR="00F65C8F">
        <w:rPr>
          <w:b/>
        </w:rPr>
        <w:t>:</w:t>
      </w:r>
    </w:p>
    <w:p w14:paraId="2E3EF870" w14:textId="03FDD075" w:rsidR="00061280" w:rsidRPr="00143F33" w:rsidRDefault="00F65C8F">
      <w:r w:rsidRPr="00143F33">
        <w:t>100% van het voor de activiteiten geldende loon wordt vergoed bij</w:t>
      </w:r>
      <w:r w:rsidR="00061280" w:rsidRPr="00143F33">
        <w:t xml:space="preserve"> annuleringen van </w:t>
      </w:r>
      <w:r w:rsidRPr="00143F33">
        <w:t xml:space="preserve">werkzaamheden gedurende deze periode in de </w:t>
      </w:r>
      <w:r w:rsidR="00061280" w:rsidRPr="00143F33">
        <w:t>met remplaçant overeengekomen (delen van) producties en/of podiumactiviteiten. De</w:t>
      </w:r>
      <w:r w:rsidR="00816CDD" w:rsidRPr="00143F33">
        <w:t xml:space="preserve"> vergoeding van 100% geldt </w:t>
      </w:r>
      <w:r w:rsidRPr="00143F33">
        <w:t xml:space="preserve">ook voor annuleringen die </w:t>
      </w:r>
      <w:r w:rsidR="00816CDD" w:rsidRPr="00143F33">
        <w:t xml:space="preserve">gedurende deze periode </w:t>
      </w:r>
      <w:r w:rsidRPr="00143F33">
        <w:t xml:space="preserve">worden aangekondigd maar </w:t>
      </w:r>
      <w:r w:rsidR="00061280" w:rsidRPr="00143F33">
        <w:t>betrekking hebben op</w:t>
      </w:r>
      <w:r w:rsidRPr="00143F33">
        <w:t xml:space="preserve"> werkzaamheden in</w:t>
      </w:r>
      <w:r w:rsidR="00061280" w:rsidRPr="00143F33">
        <w:t xml:space="preserve"> (delen van) </w:t>
      </w:r>
      <w:r w:rsidR="00816CDD" w:rsidRPr="00143F33">
        <w:t>gecontracteerde producties en/of podiumactiviteiten n</w:t>
      </w:r>
      <w:r w:rsidRPr="00143F33">
        <w:t>á</w:t>
      </w:r>
      <w:r w:rsidR="00816CDD" w:rsidRPr="00143F33">
        <w:t xml:space="preserve"> 1</w:t>
      </w:r>
      <w:r w:rsidRPr="00143F33">
        <w:t>6</w:t>
      </w:r>
      <w:r w:rsidR="00816CDD" w:rsidRPr="00143F33">
        <w:t xml:space="preserve"> januari 2022. </w:t>
      </w:r>
    </w:p>
    <w:p w14:paraId="1EBAB1F4" w14:textId="2D49C985" w:rsidR="00816CDD" w:rsidRPr="00880143" w:rsidRDefault="00816CDD">
      <w:pPr>
        <w:rPr>
          <w:b/>
        </w:rPr>
      </w:pPr>
      <w:r>
        <w:rPr>
          <w:b/>
        </w:rPr>
        <w:t>Geldend van</w:t>
      </w:r>
      <w:r w:rsidR="00D530A3">
        <w:rPr>
          <w:b/>
        </w:rPr>
        <w:t>af</w:t>
      </w:r>
      <w:r>
        <w:rPr>
          <w:b/>
        </w:rPr>
        <w:t xml:space="preserve"> 1</w:t>
      </w:r>
      <w:r w:rsidR="00D530A3">
        <w:rPr>
          <w:b/>
        </w:rPr>
        <w:t>6</w:t>
      </w:r>
      <w:r>
        <w:rPr>
          <w:b/>
        </w:rPr>
        <w:t xml:space="preserve"> januari 2022</w:t>
      </w:r>
      <w:r w:rsidR="00D530A3">
        <w:rPr>
          <w:b/>
        </w:rPr>
        <w:t xml:space="preserve"> </w:t>
      </w:r>
      <w:r w:rsidR="00004224">
        <w:rPr>
          <w:b/>
        </w:rPr>
        <w:t xml:space="preserve">tot en met 11 februari 2022 </w:t>
      </w:r>
      <w:r w:rsidR="00F01304">
        <w:rPr>
          <w:b/>
        </w:rPr>
        <w:t xml:space="preserve">bij voortduring </w:t>
      </w:r>
      <w:r w:rsidR="00B347B4">
        <w:rPr>
          <w:b/>
        </w:rPr>
        <w:t xml:space="preserve">van de </w:t>
      </w:r>
      <w:r w:rsidR="00536846">
        <w:rPr>
          <w:b/>
        </w:rPr>
        <w:t xml:space="preserve">maatregel tijdelijke </w:t>
      </w:r>
      <w:bookmarkStart w:id="0" w:name="_GoBack"/>
      <w:r w:rsidR="00536846">
        <w:rPr>
          <w:b/>
        </w:rPr>
        <w:t>afwijking van de artikelen 6.6 en 6.7 van de cao Nederlandse orkesten</w:t>
      </w:r>
      <w:bookmarkEnd w:id="0"/>
      <w:r w:rsidR="00F65C8F">
        <w:rPr>
          <w:b/>
        </w:rPr>
        <w:t>:</w:t>
      </w:r>
    </w:p>
    <w:p w14:paraId="4CEFCBB1" w14:textId="77777777" w:rsidR="00D505A3" w:rsidRPr="008D3601" w:rsidRDefault="00E13AA1" w:rsidP="00E13AA1">
      <w:pPr>
        <w:pStyle w:val="Lijstalinea"/>
        <w:numPr>
          <w:ilvl w:val="0"/>
          <w:numId w:val="1"/>
        </w:numPr>
        <w:rPr>
          <w:b/>
        </w:rPr>
      </w:pPr>
      <w:r w:rsidRPr="008D3601">
        <w:rPr>
          <w:b/>
        </w:rPr>
        <w:t xml:space="preserve">Recht op annulering </w:t>
      </w:r>
    </w:p>
    <w:p w14:paraId="2666169A" w14:textId="5A81A34C" w:rsidR="00E13AA1" w:rsidRDefault="00E13AA1" w:rsidP="00E13AA1">
      <w:r>
        <w:t>De werkgever heeft steeds het recht om de met de remplaçant overeengekomen (delen van) producties en/of podiumactiviteiten te annuleren wegens afgelasting door de inlener, hersteld zij</w:t>
      </w:r>
      <w:r w:rsidR="00E721E7">
        <w:t>n</w:t>
      </w:r>
      <w:r>
        <w:t xml:space="preserve">  van het te remplaceren orkestlid, wijziging van programmering en andere, hier niet genoemde omstandigheden.</w:t>
      </w:r>
    </w:p>
    <w:p w14:paraId="1CEC396A" w14:textId="77777777" w:rsidR="009561FC" w:rsidRDefault="00E13AA1" w:rsidP="008D3601">
      <w:pPr>
        <w:pStyle w:val="Lijstalinea"/>
        <w:numPr>
          <w:ilvl w:val="0"/>
          <w:numId w:val="1"/>
        </w:numPr>
        <w:rPr>
          <w:b/>
        </w:rPr>
      </w:pPr>
      <w:r w:rsidRPr="008D3601">
        <w:rPr>
          <w:b/>
        </w:rPr>
        <w:t>Annuleringsvergoeding</w:t>
      </w:r>
    </w:p>
    <w:p w14:paraId="357DC87E" w14:textId="50CE7F08" w:rsidR="00E13AA1" w:rsidRPr="008D3601" w:rsidRDefault="00E13AA1" w:rsidP="006D51C0">
      <w:pPr>
        <w:pStyle w:val="Lijstalinea"/>
        <w:ind w:left="408"/>
        <w:rPr>
          <w:b/>
        </w:rPr>
      </w:pPr>
      <w:r w:rsidRPr="008D3601">
        <w:rPr>
          <w:b/>
        </w:rPr>
        <w:t xml:space="preserve"> </w:t>
      </w:r>
    </w:p>
    <w:p w14:paraId="35816C9B" w14:textId="6737015A" w:rsidR="00E13AA1" w:rsidRDefault="00E13AA1" w:rsidP="00436C93">
      <w:pPr>
        <w:pStyle w:val="Lijstalinea"/>
        <w:numPr>
          <w:ilvl w:val="0"/>
          <w:numId w:val="3"/>
        </w:numPr>
      </w:pPr>
      <w:r>
        <w:t>Bij annulering</w:t>
      </w:r>
      <w:r w:rsidR="00C839A4">
        <w:t xml:space="preserve"> tot en met</w:t>
      </w:r>
      <w:r>
        <w:t xml:space="preserve"> 28 </w:t>
      </w:r>
      <w:r w:rsidR="00372337">
        <w:t>kalender</w:t>
      </w:r>
      <w:r>
        <w:t xml:space="preserve">dagen voor aanvang van de geplande (delen van) producties en/of podiumactiviteiten </w:t>
      </w:r>
      <w:r w:rsidR="00B062C7">
        <w:t xml:space="preserve">(hierna te noemen: activiteiten) </w:t>
      </w:r>
      <w:r w:rsidR="008D3601">
        <w:t>geldt dat 100% van het voor de activiteiten geldende loon wordt vergoed</w:t>
      </w:r>
      <w:r w:rsidR="00436C93">
        <w:t>.</w:t>
      </w:r>
    </w:p>
    <w:p w14:paraId="482C999B" w14:textId="4433F04B" w:rsidR="006D51C0" w:rsidRDefault="008D3601" w:rsidP="007569A4">
      <w:pPr>
        <w:pStyle w:val="Lijstalinea"/>
        <w:numPr>
          <w:ilvl w:val="0"/>
          <w:numId w:val="3"/>
        </w:numPr>
      </w:pPr>
      <w:r>
        <w:t xml:space="preserve">Bij annulering van activiteiten </w:t>
      </w:r>
      <w:r w:rsidR="00B062C7">
        <w:t xml:space="preserve">voor zover deze zouden plaatsvinden </w:t>
      </w:r>
      <w:r>
        <w:t>binnen 2</w:t>
      </w:r>
      <w:r w:rsidR="007043F7">
        <w:t>9</w:t>
      </w:r>
      <w:r>
        <w:t xml:space="preserve"> t/m 35 </w:t>
      </w:r>
      <w:r w:rsidR="00372337">
        <w:t>kalender</w:t>
      </w:r>
      <w:r>
        <w:t xml:space="preserve">dagen </w:t>
      </w:r>
      <w:r w:rsidR="00B062C7">
        <w:t>v</w:t>
      </w:r>
      <w:r w:rsidR="00A33E97">
        <w:t xml:space="preserve">oor aanvang van de </w:t>
      </w:r>
      <w:r w:rsidR="00DE4568">
        <w:t xml:space="preserve">geplande (delen van) producties en/of podiumactiviteiten </w:t>
      </w:r>
      <w:r>
        <w:t xml:space="preserve">geldt een </w:t>
      </w:r>
      <w:r w:rsidR="00B062C7">
        <w:t>vergoeding</w:t>
      </w:r>
      <w:r>
        <w:t xml:space="preserve"> van 60%</w:t>
      </w:r>
      <w:r w:rsidR="00EC2461">
        <w:t>.</w:t>
      </w:r>
    </w:p>
    <w:p w14:paraId="731B4F05" w14:textId="48C18356" w:rsidR="008D3601" w:rsidRDefault="008D3601" w:rsidP="007569A4">
      <w:pPr>
        <w:pStyle w:val="Lijstalinea"/>
        <w:numPr>
          <w:ilvl w:val="0"/>
          <w:numId w:val="3"/>
        </w:numPr>
      </w:pPr>
      <w:r>
        <w:t>Bij annulering van activiteiten voor zover deze zouden plaatsvinden binnen 3</w:t>
      </w:r>
      <w:r w:rsidR="00C839A4">
        <w:t>6</w:t>
      </w:r>
      <w:r>
        <w:t xml:space="preserve"> t/m 42 </w:t>
      </w:r>
      <w:r w:rsidR="00372337">
        <w:t>kalender</w:t>
      </w:r>
      <w:r>
        <w:t>dagen v</w:t>
      </w:r>
      <w:r w:rsidR="00DE4568">
        <w:t>oor aanvang van de geplande podiumactiviteiten</w:t>
      </w:r>
      <w:r w:rsidR="00A41972">
        <w:t xml:space="preserve"> </w:t>
      </w:r>
      <w:r w:rsidR="00B062C7">
        <w:t xml:space="preserve">geldt </w:t>
      </w:r>
      <w:r>
        <w:t>een vergoeding van 30%.</w:t>
      </w:r>
    </w:p>
    <w:p w14:paraId="79B36DFF" w14:textId="77777777" w:rsidR="008D3601" w:rsidRPr="00B062C7" w:rsidRDefault="00B062C7" w:rsidP="00E13AA1">
      <w:pPr>
        <w:rPr>
          <w:b/>
        </w:rPr>
      </w:pPr>
      <w:r>
        <w:rPr>
          <w:b/>
        </w:rPr>
        <w:t xml:space="preserve">3.     </w:t>
      </w:r>
      <w:r w:rsidR="008D3601" w:rsidRPr="00B062C7">
        <w:rPr>
          <w:b/>
        </w:rPr>
        <w:t xml:space="preserve">Vervallen aanspraak op een annuleringsvergoeding: </w:t>
      </w:r>
    </w:p>
    <w:p w14:paraId="738FC126" w14:textId="77777777" w:rsidR="008D3601" w:rsidRDefault="00B062C7" w:rsidP="00E13AA1">
      <w:r>
        <w:t>De werknemer heeft geen aanspraak op een annuleringsvergoeding:</w:t>
      </w:r>
    </w:p>
    <w:p w14:paraId="6CF1D633" w14:textId="34CEF128" w:rsidR="00B062C7" w:rsidRDefault="00B062C7" w:rsidP="000865B9">
      <w:pPr>
        <w:pStyle w:val="Lijstalinea"/>
        <w:numPr>
          <w:ilvl w:val="0"/>
          <w:numId w:val="2"/>
        </w:numPr>
      </w:pPr>
      <w:r>
        <w:lastRenderedPageBreak/>
        <w:t>Bij annulering méér dan 42 dagen voor aanvang van de eerste podiumactiviteit</w:t>
      </w:r>
      <w:r w:rsidR="00630300">
        <w:t>.</w:t>
      </w:r>
    </w:p>
    <w:p w14:paraId="14B34510" w14:textId="0206490E" w:rsidR="00B062C7" w:rsidRDefault="00B062C7" w:rsidP="000865B9">
      <w:pPr>
        <w:pStyle w:val="Lijstalinea"/>
        <w:numPr>
          <w:ilvl w:val="0"/>
          <w:numId w:val="2"/>
        </w:numPr>
      </w:pPr>
      <w:r>
        <w:t>Indien de werkgever binnen een redelijke termijn na annulering vervangende activiteiten van vergelijkbare omvang aanbiedt die plaats zullen vinden binnen dezelfde contractperiode</w:t>
      </w:r>
      <w:r w:rsidR="000865B9">
        <w:t xml:space="preserve"> (dit betreft </w:t>
      </w:r>
      <w:r w:rsidR="00B561F8">
        <w:t xml:space="preserve">ook </w:t>
      </w:r>
      <w:r w:rsidR="000865B9">
        <w:t>het verschuiven van data of tijden binnen de tevoren vastgelegde productieperiode)</w:t>
      </w:r>
      <w:r w:rsidR="00630300">
        <w:t>.</w:t>
      </w:r>
    </w:p>
    <w:p w14:paraId="3C6D24E5" w14:textId="0D966CC8" w:rsidR="00B062C7" w:rsidRDefault="00B062C7" w:rsidP="000865B9">
      <w:pPr>
        <w:pStyle w:val="Lijstalinea"/>
        <w:numPr>
          <w:ilvl w:val="0"/>
          <w:numId w:val="2"/>
        </w:numPr>
      </w:pPr>
      <w:r>
        <w:t xml:space="preserve">Indien de werkgever binnen een redelijke termijn vervangende podiumactiviteiten van vergelijkbare omvang aanbiedt die plaats zullen vinden </w:t>
      </w:r>
      <w:r w:rsidR="00B561F8">
        <w:t xml:space="preserve">buiten </w:t>
      </w:r>
      <w:r>
        <w:t xml:space="preserve">de geannuleerde contractperiode en de werknemer daarvoor beschikbaar is. Is de werknemer niet beschikbaar dan ontvangt hij </w:t>
      </w:r>
      <w:r w:rsidR="00B561F8">
        <w:t xml:space="preserve">de geldende </w:t>
      </w:r>
      <w:r>
        <w:t xml:space="preserve"> annuleringsvergoeding. </w:t>
      </w:r>
    </w:p>
    <w:p w14:paraId="30733D75" w14:textId="07883A51" w:rsidR="00147716" w:rsidRDefault="00147716" w:rsidP="000865B9">
      <w:pPr>
        <w:pStyle w:val="Lijstalinea"/>
        <w:numPr>
          <w:ilvl w:val="0"/>
          <w:numId w:val="2"/>
        </w:numPr>
      </w:pPr>
      <w:r>
        <w:t xml:space="preserve">In specifieke situaties </w:t>
      </w:r>
      <w:r w:rsidR="00F927B3">
        <w:t xml:space="preserve">kan in onderling overleg tussen werkgever en werknemer </w:t>
      </w:r>
      <w:r w:rsidR="00857DDD">
        <w:t xml:space="preserve">van </w:t>
      </w:r>
      <w:r w:rsidR="00F927B3">
        <w:t xml:space="preserve">bovenstaande bepalingen worden afgeweken. </w:t>
      </w:r>
    </w:p>
    <w:p w14:paraId="03E365EE" w14:textId="66EE0558" w:rsidR="00FC49A1" w:rsidRDefault="00FC49A1" w:rsidP="00C42E52"/>
    <w:p w14:paraId="422D33DE" w14:textId="77777777" w:rsidR="00E13AA1" w:rsidRDefault="00E13AA1"/>
    <w:p w14:paraId="5B2B9AD9" w14:textId="77777777" w:rsidR="00D505A3" w:rsidRDefault="00D505A3"/>
    <w:p w14:paraId="32E05073" w14:textId="77777777" w:rsidR="00D505A3" w:rsidRDefault="00D505A3">
      <w:r>
        <w:t xml:space="preserve">   </w:t>
      </w:r>
    </w:p>
    <w:p w14:paraId="627B088B" w14:textId="77777777" w:rsidR="00D505A3" w:rsidRDefault="00D505A3"/>
    <w:p w14:paraId="2503A240" w14:textId="77777777" w:rsidR="00D505A3" w:rsidRDefault="00D505A3"/>
    <w:p w14:paraId="17743E5B" w14:textId="77777777" w:rsidR="00D505A3" w:rsidRDefault="00D505A3">
      <w:r>
        <w:t xml:space="preserve"> </w:t>
      </w:r>
    </w:p>
    <w:sectPr w:rsidR="00D5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3AB6"/>
    <w:multiLevelType w:val="hybridMultilevel"/>
    <w:tmpl w:val="5C04679E"/>
    <w:lvl w:ilvl="0" w:tplc="9EA6BAD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F9A3B33"/>
    <w:multiLevelType w:val="hybridMultilevel"/>
    <w:tmpl w:val="AD2AC4F2"/>
    <w:lvl w:ilvl="0" w:tplc="9EA6BAD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B5144"/>
    <w:multiLevelType w:val="hybridMultilevel"/>
    <w:tmpl w:val="CDDAB13E"/>
    <w:lvl w:ilvl="0" w:tplc="957C287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A3"/>
    <w:rsid w:val="00004224"/>
    <w:rsid w:val="00061280"/>
    <w:rsid w:val="000865B9"/>
    <w:rsid w:val="00091B8A"/>
    <w:rsid w:val="00123888"/>
    <w:rsid w:val="00143F33"/>
    <w:rsid w:val="00147716"/>
    <w:rsid w:val="00196373"/>
    <w:rsid w:val="001E4B56"/>
    <w:rsid w:val="001F5B7D"/>
    <w:rsid w:val="00267A94"/>
    <w:rsid w:val="00277DAE"/>
    <w:rsid w:val="00320824"/>
    <w:rsid w:val="00352C55"/>
    <w:rsid w:val="00370734"/>
    <w:rsid w:val="00372337"/>
    <w:rsid w:val="00381522"/>
    <w:rsid w:val="00381DC2"/>
    <w:rsid w:val="003E4A19"/>
    <w:rsid w:val="00436C93"/>
    <w:rsid w:val="00492D87"/>
    <w:rsid w:val="00505F55"/>
    <w:rsid w:val="00533BFD"/>
    <w:rsid w:val="00536846"/>
    <w:rsid w:val="00566D46"/>
    <w:rsid w:val="005D4131"/>
    <w:rsid w:val="006234F3"/>
    <w:rsid w:val="00630300"/>
    <w:rsid w:val="00641F73"/>
    <w:rsid w:val="006D51C0"/>
    <w:rsid w:val="007043F7"/>
    <w:rsid w:val="007569A4"/>
    <w:rsid w:val="00782D90"/>
    <w:rsid w:val="007D7880"/>
    <w:rsid w:val="00807F74"/>
    <w:rsid w:val="00811D42"/>
    <w:rsid w:val="00816CDD"/>
    <w:rsid w:val="00857DDD"/>
    <w:rsid w:val="00880143"/>
    <w:rsid w:val="008D3601"/>
    <w:rsid w:val="008E4C2E"/>
    <w:rsid w:val="00953F0C"/>
    <w:rsid w:val="009561FC"/>
    <w:rsid w:val="00A33E97"/>
    <w:rsid w:val="00A374FF"/>
    <w:rsid w:val="00A41972"/>
    <w:rsid w:val="00A543DD"/>
    <w:rsid w:val="00AA19EE"/>
    <w:rsid w:val="00B02647"/>
    <w:rsid w:val="00B062C7"/>
    <w:rsid w:val="00B347B4"/>
    <w:rsid w:val="00B46993"/>
    <w:rsid w:val="00B561F8"/>
    <w:rsid w:val="00BC23B6"/>
    <w:rsid w:val="00C049F9"/>
    <w:rsid w:val="00C07496"/>
    <w:rsid w:val="00C17409"/>
    <w:rsid w:val="00C42E52"/>
    <w:rsid w:val="00C839A4"/>
    <w:rsid w:val="00D31AE1"/>
    <w:rsid w:val="00D505A3"/>
    <w:rsid w:val="00D530A3"/>
    <w:rsid w:val="00D71E97"/>
    <w:rsid w:val="00DC379D"/>
    <w:rsid w:val="00DE4568"/>
    <w:rsid w:val="00E00826"/>
    <w:rsid w:val="00E13AA1"/>
    <w:rsid w:val="00E57EC9"/>
    <w:rsid w:val="00E60FED"/>
    <w:rsid w:val="00E721E7"/>
    <w:rsid w:val="00EA0426"/>
    <w:rsid w:val="00EC2461"/>
    <w:rsid w:val="00F01304"/>
    <w:rsid w:val="00F54DCC"/>
    <w:rsid w:val="00F65C8F"/>
    <w:rsid w:val="00F85AC8"/>
    <w:rsid w:val="00F927B3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2312"/>
  <w15:chartTrackingRefBased/>
  <w15:docId w15:val="{7342619B-21DD-4AD9-9691-93EBB985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A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49A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C49A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E00CD516E1043959C3E7D8A764F52" ma:contentTypeVersion="12" ma:contentTypeDescription="Een nieuw document maken." ma:contentTypeScope="" ma:versionID="542f0723c098fda500bd2820888ecc5f">
  <xsd:schema xmlns:xsd="http://www.w3.org/2001/XMLSchema" xmlns:xs="http://www.w3.org/2001/XMLSchema" xmlns:p="http://schemas.microsoft.com/office/2006/metadata/properties" xmlns:ns3="9bc27c5b-1594-4e31-9c4f-7794f80da552" xmlns:ns4="1fc659a7-2c15-4447-a65d-36290cf46095" targetNamespace="http://schemas.microsoft.com/office/2006/metadata/properties" ma:root="true" ma:fieldsID="f73be0690892951acb4beac1fa443d23" ns3:_="" ns4:_="">
    <xsd:import namespace="9bc27c5b-1594-4e31-9c4f-7794f80da552"/>
    <xsd:import namespace="1fc659a7-2c15-4447-a65d-36290cf46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7c5b-1594-4e31-9c4f-7794f80da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59a7-2c15-4447-a65d-36290cf4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AC903-20F7-44F0-9F42-1ABA43C71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CB87-862A-42C6-8862-DD82E0D81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210F3-B1F1-4321-B1C4-8FB3CE94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27c5b-1594-4e31-9c4f-7794f80da552"/>
    <ds:schemaRef ds:uri="1fc659a7-2c15-4447-a65d-36290cf4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Groot</dc:creator>
  <cp:keywords/>
  <dc:description/>
  <cp:lastModifiedBy>Femke Strik</cp:lastModifiedBy>
  <cp:revision>2</cp:revision>
  <dcterms:created xsi:type="dcterms:W3CDTF">2021-12-10T08:12:00Z</dcterms:created>
  <dcterms:modified xsi:type="dcterms:W3CDTF">2021-12-10T08:12:00Z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0x0101009AEE00CD516E1043959C3E7D8A764F52</vt:lpwstr>
  </property>
</Properties>
</file>